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92.7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(71.5–84.8)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(71.7–85.6)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68.6% (59.1–79.7)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76.1% (69.1–83.7)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60.2% (49.2–73.6)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73.7% (66.8–81.4)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61.6% (50.8–74.8)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(73.7–86.3)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(54.7–78.2)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76.7% (70.1–84.0)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61.6% (50.9–74.5)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75.0% (68.6–81.9)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57.9% (47.0–71.2)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(71.3–84.6)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63.6% (52.8–76.7)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78.7% (72.2–85.9)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65.7% (56.0–77.2)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73.9% (67.2–81.2)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57.3% (47.1–69.7)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(68.2–81.8)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58.4% (48.8–69.9)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(74.1–88.5)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73.3% (63.2–85.1)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2026-09-27T14:17:56Z</dcterms:modified>
  <cp:category/>
</cp:coreProperties>
</file>