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TCGA-COAD. HR from Cox regression; multivariable model adjusted for age (per 10 years), sex and pathologic stage. Sensitivity: stratified by tss. q = Benjamini–Hochberg across exploratory genes only; the primary gene (MS4A1)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(56.2–NR)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(99.9–NR)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 (0.40–0.92)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 (0.35–0.85)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 (0.31–0.81)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4.88 (0.60, 9.17)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92.7 (62.7–NR)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0.88 (0.59–1.32)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0.86 (0.57–1.30)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(0.55–1.40)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(-3.39, 5.26)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1.19 (0.79–1.77)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1.06 (0.70–1.61)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1.11 (0.73–1.71)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-1.92 (-6.23,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81.3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 (0.45–1.00)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 (0.51–1.18)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 (0.57–1.42)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3.70 (-0.59, 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(0.54–1.20)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0.82 (0.54–1.24)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0.79 (0.51–1.25)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1.45 (-2.83, 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0.94 (0.62–1.43)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0.92 (0.59–1.44)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-1.02 (-5.32, 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1.73 (1.15–2.61)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1.70 (1.11–2.60)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1.69 (1.07–2.67)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-5.67 (-9.97, -1.38)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(0.53–1.19)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 (0.53–1.22)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0.81 (0.51–1.27)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 (-3.87, 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83.2 (56.2–NR)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99.9 (65.8–NR)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 (0.42–0.94)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0.57 (0.37–0.87)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0.62 (0.39–0.99)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5.89 (1.63, 10.15)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2026-09-27T14:17:55Z</dcterms:modified>
  <cp:category/>
</cp:coreProperties>
</file>