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[55.0,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(64.6%)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(87.9%)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(62.9%)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2026-09-27T14:22:40Z</dcterms:modified>
  <cp:category/>
</cp:coreProperties>
</file>