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BRAF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(69.3%)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(61.1%)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(83.0%)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(85.5%)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2026-09-27T14:22:53Z</dcterms:modified>
  <cp:category/>
</cp:coreProperties>
</file>