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2.32 (1.35–3.97)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(0.43–2.29)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2.76 (1.11–6.85)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2026-09-27T14:18:09Z</dcterms:modified>
  <cp:category/>
</cp:coreProperties>
</file>