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MS4A1 expression, TCGA-READ (n = 149, events = 23, EPV = 5.8;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145"/>
        <w:gridCol w:w="681"/>
        <w:gridCol w:w="931"/>
        <w:gridCol w:w="161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0.34 (0.13–0.89)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2.19 (1.30–3.68)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 (0.34–1.93)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2.64 (1.07–6.52)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2026-09-27T14:18:18Z</dcterms:modified>
  <cp:category/>
</cp:coreProperties>
</file>