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(1.15–2.81)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(0.54–1.31)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(0.43–2.48)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(0.44–1.25)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(0.32–1.23)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(0.86–1.71)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 (1.47–3.71)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(0.55–2.64)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(0.24–6.48)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2.39 (0.50–11.46)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6.24 (1.31–29.62)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2.98 (1.22–7.30)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2026-09-27T14:18:22Z</dcterms:modified>
  <cp:category/>
</cp:coreProperties>
</file>