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89.5% (82.3–97.4)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(36.4–88.3)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91.1% (83.8–99.1)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65.8% (46.2–93.6)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(82.7–98.1)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(68.4–96.1)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85.3% (76.7–95.0)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75.9% (62.2–92.6)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(75.9–96.6)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31.2% (7.3–100.0)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89.0% (81.6–97.2)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71.4% (54.5–93.5)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(83.4–97.4)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72.0% (54.9–94.3)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83.2% (73.8–93.7)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52.9% (30.1–93.1)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88.3% (80.4–97.1)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69.8% (51.7–94.2)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93.4% (87.2–100.0)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(49.1–100.0)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2026-09-27T14:18:21Z</dcterms:modified>
  <cp:category/>
</cp:coreProperties>
</file>