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TCGA-READ. HR from Cox regression; multivariable model adjusted for age (per 10 years), sex and pathologic stage. Sensitivity: stratified by tss. q = Benjamini–Hochberg across exploratory genes only; the primary gene (MS4A1)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3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 (0.13–0.77)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 (0.13–0.89)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 (0.07–0.64)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9.11 (2.16, 16.06)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0.75 (0.34–1.66)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 (0.33–1.84)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 (0.29–1.69)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2.78 (-4.26, 9.82)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 (0.17–0.88)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 (0.22–1.31)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 (0.23–1.41)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7.75 (0.80, 14.70)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2.54 (1.09–5.96)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1.91 (0.76–4.83)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1.75 (0.68–4.51)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1.07 (0.34–3.34)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4.50 (0.92–21.97)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-8.34 (-14.89, -1.79)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0.65 (0.29–1.45)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1.05 (0.44–2.49)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 (0.34–2.38)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2.05 (0.65–6.42)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 (0.07–1.77)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4.71 (-2.00, 11.43)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 (0.32–1.63)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 (0.22–1.33)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(0.15–1.27)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4.09 (-3.61, 11.80)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0.56 (0.25–1.25)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0.68 (0.28–1.65)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(0.24–1.58)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5.25 (-1.71, 12.21)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 (0.24–1.24)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0.75 (0.30–1.87)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 (0.24–1.80)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5.61 (-1.19, 12.41)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(0.38–1.92)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(0.37–2.07)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1.01 (0.39–2.58)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 (-6.75, 7.15)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(0.19–1.01)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 (0.24–1.62)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 (0.16–1.34)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7.67 (0.55, 14.78)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2026-09-27T14:18:20Z</dcterms:modified>
  <cp:category/>
</cp:coreProperties>
</file>