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TCGA-READ cohort (N = 169)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169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72.5]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(48.8%)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(51.2%)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(54.8%)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(45.2%)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(20.4%)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(15.4%)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(68.3%)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(26.7%)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(21.2%)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(85.5%)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(14.5%)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(52.5%)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(47.5%)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(57.9%)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(42.1%)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(55.6%)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(44.4%)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(74.0%)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(87.6%)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(7.6%)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(92.0%)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(30.1%)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(66.9%)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(40.7%)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(59.3%)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2026-09-27T14:23:46Z</dcterms:modified>
  <cp:category/>
</cp:coreProperties>
</file>