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Multivariable Cox regression for overall survival: BRCA1 expression, TCGA-COAD (n = 273, events = 49, EPV = 9.8; exploratory)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070"/>
        <w:gridCol w:w="1489"/>
        <w:gridCol w:w="681"/>
        <w:gridCol w:w="931"/>
        <w:gridCol w:w="1611"/>
        <w:gridCol w:w="917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BRCA1 expression, log2 (per 1 unit)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 (0.60–1.23)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0.420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2.55 (1.32–4.94)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1.21 (0.68–2.17)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3.85 (2.02–7.36)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Pretreatment CEA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≤5 ng/mL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&gt;5 ng/mL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1.98 (1.11–3.54)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2026-10-17T18:36:41Z</dcterms:modified>
  <cp:category/>
</cp:coreProperties>
</file>