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MAD2L1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0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 (1.36–5.11)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(0.65–2.11)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3.61 (1.88–6.95)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(1.13–3.61)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2026-10-17T18:37:06Z</dcterms:modified>
  <cp:category/>
</cp:coreProperties>
</file>