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MS4A1 expression, TCGA-COAD (n = 273, events = 49, EPV = 9.8;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0"/>
        <w:gridCol w:w="1489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MS4A1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(0.85–1.09)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2.60 (1.35–5.01)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1.20 (0.67–2.15)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3.90 (2.03–7.48)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2.00 (1.12–3.57)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2026-10-17T18:36:59Z</dcterms:modified>
  <cp:category/>
</cp:coreProperties>
</file>