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TIMP1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1.50 (1.10–2.03)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2.78 (1.41–5.47)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 (0.67–2.13)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4.00 (2.09–7.68)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2.10 (1.17–3.76)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2026-10-17T18:36:49Z</dcterms:modified>
  <cp:category/>
</cp:coreProperties>
</file>