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gene expression, TCGA-COAD.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1"/>
        <w:gridCol w:w="921"/>
        <w:gridCol w:w="681"/>
        <w:gridCol w:w="931"/>
        <w:gridCol w:w="2716"/>
        <w:gridCol w:w="1955"/>
        <w:gridCol w:w="1955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 OS,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OS (95% CI)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83.2 (62.7–NR)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77.4% (71.1–84.4)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67.4% (58.0–78.4)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78.4% (71.8–85.7)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62.5% (52.0–75.1)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80.1% (74.1–86.6)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68.7% (59.2–79.8)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65.8 (49.9–NR)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75.6% (68.6–83.3)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59.8% (48.9–73.2)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(60.7–NR)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73.4% (66.5–81.1)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61.4% (50.6–74.5)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82.6% (76.7–88.9)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67.8% (58.0–79.4)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70.1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76.8% (70.1–84.1)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64.2% (54.5–75.7)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(92.7–NR)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79.4% (73.3–86.0)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65.1% (54.5–77.8)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79.7% (73.4–86.5)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68.2% (58.7–79.3)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76.4% (69.7–83.6)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61.3% (50.6–74.2)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(81.3–NR)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81.2% (74.6–88.3)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71.0% (61.3–82.2)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70.1 (54.6–NR)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74.7% (68.3–81.6)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57.6% (46.8–70.9)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(61.8–NR)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77.7% (71.4–84.6)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63.7% (52.9–76.7)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(70.1–NR)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78.3% (71.7–85.5)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65.4% (55.6–76.8)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83.2 (49.4–NR)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73.6% (66.9–80.9)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57.1% (46.9–69.4)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(65.8–NR)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82.2% (75.9–89.0)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72.5% (62.6–84.0)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(56.2–NR)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74.3% (67.8–81.4)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58.1% (48.5–69.5)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(99.9–NR)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81.0% (74.2–88.6)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73.4% (63.3–85.1)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HIST1H2AC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(67.2–NR)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84.5% (79.0–90.5)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70.4% (59.7–83.0)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HIST1H2AC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81.3 (56.2–NR)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71.8% (64.8–79.4)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59.0% (49.3–70.7)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MAD2L1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(60.7–NR)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72.8% (65.9–80.5)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60.9% (50.3–73.8)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MAD2L1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99.9 (83.2–NR)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82.7% (76.7–89.1)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68.0% (58.1–79.5)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2026-10-17T18:37:11Z</dcterms:modified>
  <cp:category/>
</cp:coreProperties>
</file>