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Overall survival by gene expression (High vs Low), TCGA-COAD. HR from Cox regression; gene HRs (univariable, multivariable, strata, time-split) are per 1 log2 unit of expression; multivariable model adjusted for age group, years, sex, pathologic stage group and pretreatment cea. Sensitivity: stratified by tss. q = Benjamini–Hochberg across exploratory genes only; the primary gene (MS4A1) is reported with its unadjusted p. Time-split HRs (0–24 / &gt;24 months, adjusted) are shown only for genes whose expression term violated proportional hazards. RMST difference = High − Low restricted mean survival time up to 60 months.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51"/>
        <w:gridCol w:w="964"/>
        <w:gridCol w:w="591"/>
        <w:gridCol w:w="757"/>
        <w:gridCol w:w="2204"/>
        <w:gridCol w:w="2231"/>
        <w:gridCol w:w="994"/>
        <w:gridCol w:w="994"/>
        <w:gridCol w:w="1741"/>
        <w:gridCol w:w="1114"/>
        <w:gridCol w:w="1114"/>
        <w:gridCol w:w="1841"/>
        <w:gridCol w:w="1214"/>
        <w:gridCol w:w="1214"/>
        <w:gridCol w:w="651"/>
        <w:gridCol w:w="1141"/>
        <w:gridCol w:w="1747"/>
        <w:gridCol w:w="1121"/>
        <w:gridCol w:w="1017"/>
        <w:gridCol w:w="1564"/>
        <w:gridCol w:w="937"/>
        <w:gridCol w:w="1512"/>
        <w:gridCol w:w="886"/>
        <w:gridCol w:w="2724"/>
        <w:gridCol w:w="854"/>
        <w:gridCol w:w="1636"/>
        <w:gridCol w:w="651"/>
      </w:tblGrid>
      <w:tr>
        <w:trPr>
          <w:trHeight w:val="51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Gene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Role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Median OS Low, months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Median OS High, months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Log-rank 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Log-rank 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Univariable 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Univariable 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Univariable 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Multivariable 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Multivariable 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Multivariable 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EPV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Stage 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Strata(TSS) 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Strata(TSS) 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PH global 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HR 0–24 mo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p 0–24 mo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HR &gt;24 mo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p &gt;24 mo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RMST difference at 60 mo, months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RMST 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Exploratory (EPV &lt; 10)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Note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MS4A1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67.2 (56.2–NR)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99.9 (99.9–NR)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0.95 (0.87–1.04)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0.255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0.96 (0.85–1.09)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0.548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1.03 (0.90–1.18)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0.695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0.294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5.10 (0.81, 9.38)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APC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83.2 (62.7–NR)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NR (61.8–NR)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1.01 (0.84–1.23)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1.35 (0.96–1.88)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1.54 (1.05–2.25)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1.16 (-3.17, 5.48)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BRAF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99.9 (70.1–NR)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65.8 (49.9–NR)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1.34 (0.93–1.94)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1.58 (0.98–2.57)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1.62 (1.01–2.60)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-2.15 (-6.46, 2.17)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BRCA1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67.2 (60.7–NR)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99.9 (70.1–NR)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0.86 (0.66–1.13)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0.86 (0.60–1.23)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0.88 (0.58–1.35)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3.84 (-0.45, 8.14)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KRAS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70.1 (61.8–NR)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NR (92.7–NR)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0.95 (0.69–1.32)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1.25 (0.78–2.00)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1.32 (0.81–2.14)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1.29 (-3.00, 5.58)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PIK3CA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NR (81.3–NR)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67.2 (61.8–NR)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1.32 (0.93–1.88)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1.65 (0.97–2.80)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1.80 (1.00–3.24)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-1.18 (-5.48, 3.12)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TIMP1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NR (81.3–NR)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70.1 (54.6–NR)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1.38 (1.10–1.74)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1.50 (1.10–2.03)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1.56 (1.09–2.25)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-5.81 (-10.10, -1.52)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TP53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67.2 (61.8–NR)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NR (70.1–NR)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0.88 (0.74–1.05)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0.87 (0.68–1.12)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0.84 (0.65–1.09)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1.05 (0.76–1.44)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0.56 (0.37–0.86)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0.19 (-4.11, 4.48)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ROCK2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83.2 (49.4–NR)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99.9 (65.8–NR)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0.88 (0.71–1.10)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0.88 (0.66–1.16)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0.88 (0.63–1.23)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6.02 (1.76, 10.28)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HIST1H2AC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99.9 (67.2–NR)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81.3 (56.2–NR)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1.43 (1.16–1.77)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1.27 (0.93–1.74)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1.24 (0.90–1.71)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-5.29 (-9.57, -1.01)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50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MAD2L1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67.2 (60.7–NR)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99.9 (83.2–NR)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0.056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0.76 (0.61–0.95)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0.83 (0.60–1.16)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0.285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0.407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0.88 (0.61–1.25)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0.471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0.297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4.27 (-0.05, 8.59)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0.053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2026-10-17T18:37:10Z</dcterms:modified>
  <cp:category/>
</cp:coreProperties>
</file>