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MS4A1 High vs Low expression, TCGA-COAD (DESeq2 Wald statistic, design ~ tss + group). Hallmark: top 5 up and top 5 down by NES;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3538"/>
        <w:gridCol w:w="652"/>
        <w:gridCol w:w="702"/>
        <w:gridCol w:w="805"/>
        <w:gridCol w:w="1702"/>
        <w:gridCol w:w="6361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CCL19, MAP4K1, CD79A, IL16, IRF4, PRKCB, ITK, CD3G, CD2, CD3E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IRF4, SLAMF7, IL10RA, CSF2RB, IL2RB, STAT4, CD69, CD38, CCL5, GPR18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CCR7, SLAMF1, KCNA3, LTA, CD48, SELL, IL10RA, IL2RB, CD69, EBI3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SELL, SP110, EPSTI1, C1S, SAMD9L, STAT2, CXCL10, CD74, GBP4, GBP2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CXCL13, LTB, CSF2RB, EBI3, CD38, PIK3R5, ITGA4, IL2RA, CCR1, CXCL9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PSMD3, EXOSC7, PHB1, PPM1G, RPS2, CCT7, MRPL23, RUVBL2, SNRPA1, POLD2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SLC25A6, NDUFA3, MDH2, PMPCA, ATP5F1E, UQCRC1, ATP5MC1, IDH3G, GRPEL1, HSD17B10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PHB1, PUS1, IMP4, SLC19A1, BYSL, TMEM97, RABEPK, SLC29A2, RRP9, TBRG4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TUBG1, POLD2, SUV39H1, CENPM, MCM3, TBRG4, POLD1, KIF18B, SPAG5, PA2G4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E2F1, HIRA, SUV39H1, MCM3, TNPO2, CDC6, FANCC, MYBL2, KIF22, EWSR1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2026-10-17T18:46:23Z</dcterms:modified>
  <cp:category/>
</cp:coreProperties>
</file>