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Kaplan–Meier estimates by MS4A1 expression, GSE39582 (CIT, colon). NR = not reached.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45"/>
        <w:gridCol w:w="1251"/>
        <w:gridCol w:w="921"/>
        <w:gridCol w:w="681"/>
        <w:gridCol w:w="931"/>
        <w:gridCol w:w="2431"/>
        <w:gridCol w:w="1760"/>
        <w:gridCol w:w="1760"/>
        <w:gridCol w:w="128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Endpoint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Population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Median,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3-year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5-year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Log-rank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145.0 (91.0–NR)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80.0% (75.2–85.1)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67.1% (61.3–73.5)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183.0 (105.0–NR)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75.7% (70.7–81.1)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67.9% (62.3–74.0)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112.0 (83.0–NR)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79.0% (73.6–84.8)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64.7% (58.1–72.0)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(97.0–NR)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73.8% (68.0–80.2)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65.6% (59.1–72.7)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(NR–NR)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75.7% (70.3–81.5)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69.7% (63.8–76.2)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(NR–NR)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72.8% (67.3–78.8)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70.5% (64.7–76.8)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(NR–NR)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72.2% (65.9–79.1)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66.9% (60.3–74.4)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0.499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pMMR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(NR–NR)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68.5% (61.9–75.8)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65.6% (58.8–73.2)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2026-10-17T18:50:46Z</dcterms:modified>
  <cp:category/>
</cp:coreProperties>
</file>