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MS4A1 expression (High vs Low, median split of probe 228592_at within tumors) in GSE39582 (CIT, colon). HR from Cox regression; multivariable and time-split gene HRs are per 1 log2 unit of expression; multivariable models adjusted for age group, years, sex and pathologic stage group; '+ MMR status' additionally adjusts for mmr status and '(MMR status known)' is the model without it on the same patients. Interaction p = likelihood-ratio test for MS4A1 expression × mmr status. Time-split HRs (0–24 / &gt;24 months, adjusted) are shown only when the gene term violated proportional hazards. RMST difference = High − Low restricted mean survival time up to 60 months. Relapse-free survival excludes stage 4. Direction compared with the TCGA-COAD multivariable HR 0.96.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4"/>
        <w:gridCol w:w="1064"/>
        <w:gridCol w:w="2705"/>
        <w:gridCol w:w="621"/>
        <w:gridCol w:w="815"/>
        <w:gridCol w:w="1344"/>
        <w:gridCol w:w="726"/>
        <w:gridCol w:w="726"/>
        <w:gridCol w:w="1262"/>
        <w:gridCol w:w="1441"/>
        <w:gridCol w:w="1192"/>
        <w:gridCol w:w="1091"/>
        <w:gridCol w:w="3109"/>
        <w:gridCol w:w="928"/>
        <w:gridCol w:w="20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(gene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Direction as TCGA-COAD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(0.78–1.38)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 (-5.57, 0.41)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 (0.87–1.09)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 (0.89–1.12)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 (0.89–1.12)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 (1.05–1.40)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 (0.67–0.94)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 (0.78–1.45)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 (-6.10,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(0.85–1.09)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 (0.89–1.14)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 (1.05–1.46)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(0.69–1.00)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 (0.78–1.51)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-1.37 (-5.07,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(0.85–1.10)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(0.84–1.09)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 (0.83–1.09)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(0.85–1.11)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 (0.79–1.61)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-1.79 (-6.14, 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(0.85–1.12)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2026-10-17T18:50:45Z</dcterms:modified>
  <cp:category/>
</cp:coreProperties>
</file>