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BRAF expression, TCGA-READ (n = 103, events = 13, EPV = 2.6; exploratory)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960"/>
        <w:gridCol w:w="1489"/>
        <w:gridCol w:w="681"/>
        <w:gridCol w:w="931"/>
        <w:gridCol w:w="1701"/>
        <w:gridCol w:w="816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BRAF expression, log2 (per 1 unit)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 (0.24–3.91)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3.87 (1.05–14.25)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 (0.27–2.91)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1.61 (0.51–5.05)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Pretreatment CEA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≤5 ng/mL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&gt;5 ng/mL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1.59 (0.49–5.13)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0.435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2026-10-17T18:37:17Z</dcterms:modified>
  <cp:category/>
</cp:coreProperties>
</file>