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BRCA1 expression, TCGA-READ (n = 102,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 (0.21–1.20)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3.39 (0.91–12.63)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(0.22–2.51)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 (0.49–4.90)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1.84 (0.55–6.11)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2026-10-17T18:37:20Z</dcterms:modified>
  <cp:category/>
</cp:coreProperties>
</file>