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Multivariable Cox regression for overall survival: PIK3CA expression, TCGA-READ (n = 103, events = 13, EPV = 2.6; exploratory)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120"/>
        <w:gridCol w:w="1489"/>
        <w:gridCol w:w="681"/>
        <w:gridCol w:w="931"/>
        <w:gridCol w:w="1701"/>
        <w:gridCol w:w="816"/>
        <w:gridCol w:w="1136"/>
      </w:tblGrid>
      <w:tr>
        <w:trPr>
          <w:trHeight w:val="590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Variable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Level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Events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HR (95% CI)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 p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PIK3CA expression, log2 (per 1 unit)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0.69 (0.27–1.76)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0.433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3.60 (0.96–13.42)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0.94 (0.28–3.14)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0.915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1.66 (0.53–5.23)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Pretreatment CEA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≤5 ng/mL (ref)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Reference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5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&gt;5 ng/mL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1.60 (0.50–5.14)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0.428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2026-10-17T18:37:40Z</dcterms:modified>
  <cp:category/>
</cp:coreProperties>
</file>