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TCGA-READ (n = 102, events = 12, EPV = 2.4;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(0.74–1.85)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6.00 (1.29–27.84)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(0.28–3.26)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(0.37–4.32)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(0.44–5.61)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2026-10-17T18:37:44Z</dcterms:modified>
  <cp:category/>
</cp:coreProperties>
</file>