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TCGA-READ.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1"/>
        <w:gridCol w:w="921"/>
        <w:gridCol w:w="59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78.9% (66.8–93.1)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44.7% (21.3–94.0)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89.7% (82.6–97.4)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56.8% (36.5–88.5)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78.0% (66.4–91.6)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25.9% (6.0–100.0)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91.3% (84.1–99.1)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65.9% (46.3–93.8)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90.2% (82.9–98.1)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81.2% (68.5–96.2)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 (69.0–92.7)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13.7% (2.4–78.8)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84.5% (74.1–96.4)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15.1% (2.7–86.0)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85.6% (77.0–95.1)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76.2% (62.5–92.8)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 (76.4–96.7)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31.3% (7.4–100.0)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 (75.4–94.8)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55.4% (36.1–84.9)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79.8% (68.2–93.4)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33.2% (14.3–77.1)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89.2% (81.9–97.2)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71.6% (54.7–93.7)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(69.4–94.4)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20.3% (4.2–98.6)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90.2% (83.6–97.4)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72.1% (55.0–94.5)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83.5% (74.3–93.8)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53.1% (30.2–93.4)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88.8% (79.5–99.2)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50.8% (29.4–87.9)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(70.0–94.0)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17.4% (3.3–93.0)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88.5% (80.7–97.1)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69.9% (51.9–94.3)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75.2% (63.1–89.7)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33.3% (15.0–74.1)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 (87.4–100.0)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70.4% (49.2–100.0)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89.3% (80.3–99.3)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60.1% (37.1–97.4)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80.6% (70.6–92.0)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40.6% (20.4–80.6)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 (67.9–92.7)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16.6% (3.1–89.0)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90.0% (82.6–98.1)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 (54.4–96.1)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2026-10-17T18:38:00Z</dcterms:modified>
  <cp:category/>
</cp:coreProperties>
</file>