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TCGA-READ. HR from Cox regression; gene HRs (univariable, multivariable, strata, time-split) are per 1 log2 unit of expression; multivariable model adjusted for age group, years, sex, pathologic stage group and pretreatment cea. Sensitivity: stratified by tss. q = Benjamini–Hochberg across exploratory genes only; the primary gene (MS4A1)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 (0.68–1.01)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 (0.51–0.99)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 (0.46–0.93)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 (0.39–0.89)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1.02 (0.57–1.83)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9.16 (2.22, 16.09)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 (0.26–1.58)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0.96 (0.24–3.91)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(0.23–4.60)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2.85 (-4.17, 9.87)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57.2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 (0.19–0.69)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 (0.21–1.20)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 (0.23–1.42)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7.82 (0.89, 14.75)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1.81 (1.16–2.82)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1.76 (0.92–3.40)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1.60 (0.82–3.11)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1.58 (0.76–3.30)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3.04 (0.60–15.54)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-8.42 (-14.94, -1.89)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 (0.53–1.30)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(0.48–1.53)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 (0.48–1.96)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1.24 (0.54–2.84)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 (0.15–1.14)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4.82 (-1.86, 11.50)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(0.45–2.53)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 (0.14–1.37)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 (0.13–1.66)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3.98 (-3.70, 11.66)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 (0.43–1.24)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 (0.35–1.21)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 (0.32–1.55)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(0.40–1.89)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 (0.00–1.11)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5.32 (-1.61, 12.26)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 (0.32–1.22)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 (0.27–1.76)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(0.29–2.54)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(0.34–3.35)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 (0.00–1.96)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5.67 (-1.11, 12.45)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1.22 (0.87–1.72)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1.17 (0.74–1.85)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1.17 (0.69–2.01)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 (-6.84, 6.99)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 (0.45–1.14)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 (0.44–1.59)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1.13 (0.47–2.68)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1.01 (0.47–2.20)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 (0.04–2.00)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7.75 (0.66, 14.84)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HIST1H2AC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1.36 (0.88–2.09)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1.13 (0.59–2.16)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1.07 (0.54–2.13)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-9.23 (-16.12, -2.34)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MAD2L1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47.0 (43.2–NR)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 (0.34–1.03)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 (0.35–1.59)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 (0.34–1.79)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8.29 (1.38, 15.20)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2026-10-17T18:37:59Z</dcterms:modified>
  <cp:category/>
</cp:coreProperties>
</file>