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the TCGA-READ cohort (N = 170)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016"/>
        <w:gridCol w:w="2001"/>
      </w:tblGrid>
      <w:tr>
        <w:trPr>
          <w:trHeight w:val="460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 = 170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[57.0, 72.0]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(49.1%)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 (50.9%)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 (54.4%)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 (45.6%)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 (20.2%)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 (31.9%)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 (31.9%)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 (16.0%)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(5.4%)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(17.9%)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115 (68.5%)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(8.3%)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 (51.8%)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(27.1%)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(21.1%)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130 (85.0%)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(15.0%)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 (52.1%)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 (47.9%)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 (57.9%)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(42.1%)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Lymphovascular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 (55.6%)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 (44.4%)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108 (74.0%)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(26.0%)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Residual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127 (90.7%)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(1.4%)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(7.9%)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Histology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Rectal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150 (92.0%)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Rectal Mucinous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(8.0%)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Rectosigmoid Junction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 (29.9%)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112 (67.1%)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Sigmoid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(3.0%)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Tumor free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 (40.4%)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With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 (59.6%)</w:t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2026-10-17T18:35:30Z</dcterms:modified>
  <cp:category/>
</cp:coreProperties>
</file>