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MS4A1 High vs Low expression, TCGA-READ (DESeq2 Wald statistic, design ~ tss + group). Hallmark: top 5 up and top 5 down by NES;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3538"/>
        <w:gridCol w:w="652"/>
        <w:gridCol w:w="702"/>
        <w:gridCol w:w="805"/>
        <w:gridCol w:w="1702"/>
        <w:gridCol w:w="5428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CD79A, CCL19, IRF4, MAP4K1, TRAT1, CXCL13, IL16, CD28, ITK, ITGAL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KCNA3, CCR7, SLAMF1, GPR183, RGS1, CCL22, LTA, IL7R, RASGRP1, IL10RA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IRF4, CD38, SLAMF7, BANK1, GPR18, STAT4, FGL2, IL10RA, GBP4, ST8SIA4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CXCL13, CD38, LTB, IL12RB1, EBI3, ITGA4, IL6ST, CXCL10, IL2RA, CXCL9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MAP4K1, IKZF1, TPH1, DOCK2, ETS1, LCP1, IL7R, RELN, IL10RA, CD37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IDH2, MRPS11, PDHA1, CYC1, AIFM1, GPI, POR, IDH3G, NDUFS7, HSD17B10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CCT7, PPM1G, PHB1, CYC1, PSMD3, EIF3D, TYMS, SRM, PSMC4, RPLP0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PUS1, PHB1, LAS1L, IMP4, SRM, RABEPK, BYSL, PES1, WDR74, CDK4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TUBG1, SUV39H1, ESPL1, KIF18B, DDX39A, CDCA3, KIF4A, ILF3, CDK4, TBRG4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HIRA, SLC7A5, SUV39H1, ESPL1, DDX39A, NSD2, DMD, CDC45, TROAP, KIF4A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2026-10-17T18:50:18Z</dcterms:modified>
  <cp:category/>
</cp:coreProperties>
</file>