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External validation of the Signature score in GEO cohorts (High vs Low, cohort median split). Multivariable models use the TCGA covariates available in each dataset.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13"/>
        <w:gridCol w:w="1357"/>
        <w:gridCol w:w="1051"/>
        <w:gridCol w:w="651"/>
        <w:gridCol w:w="873"/>
        <w:gridCol w:w="1189"/>
        <w:gridCol w:w="2184"/>
        <w:gridCol w:w="1349"/>
        <w:gridCol w:w="2055"/>
        <w:gridCol w:w="2317"/>
        <w:gridCol w:w="1482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TCGA cohort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Univariable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Univariable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Multivariable n (events)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Multivariable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Multivariable p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GSE31210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LUAD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4.40 (1.80–10.76)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 (30)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3.28 (1.31–8.22)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GSE31210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LUAD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 (1.45–4.58)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 (54)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1.97 (1.08–3.59)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GSE68465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LUAD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 (0.98–1.64)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439 (235)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 (1.00–1.69)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GSE68465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LUAD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1.42 (1.06–1.91)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330 (176)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 (1.08–1.96)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GSE30219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LUSC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1.65 (0.90–3.03)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 (43)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 (1.06–3.75)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GSE30219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LUSC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RFS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 (0.81–4.45)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 (22)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2.35 (0.97–5.72)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2026-10-25T22:43:52Z</dcterms:modified>
  <cp:category/>
</cp:coreProperties>
</file>