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GSE30219 (squamous cell carcinoma subset). Signature score = mean z-score of LOXL2, ITGB1, PLAUR, SNAI1, VEGFC (log2 expression, z within the cohort); High vs Low = cohort median split. Multivariable: age group, years, sex and pathologic stage group (complete cases n = 61, events = 43). Not available in this dataset: number_pack_years_smoked.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2060"/>
        <w:gridCol w:w="1145"/>
        <w:gridCol w:w="591"/>
        <w:gridCol w:w="931"/>
        <w:gridCol w:w="170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1.65 (0.90–3.03)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(0.86–2.93)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2.28 (0.80–6.54)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5.25 (1.70–16.24)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 (1.06–3.75)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1.94 (1.01–3.75)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 (0.46–4.00)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6.20 (1.91–20.13)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2026-10-25T22:43:46Z</dcterms:modified>
  <cp:category/>
</cp:coreProperties>
</file>