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GSE30219 (squamous cell carcinoma subset). Signature score = mean z-score of LOXL2, ITGB1, PLAUR, SNAI1, VEGFC (log2 expression, z within the cohort); High vs Low = cohort median split. Multivariable: age group, years, sex and pathologic stage group (complete cases n = 60, events = 22). Not available in this dataset: number_pack_years_smoked.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2060"/>
        <w:gridCol w:w="1145"/>
        <w:gridCol w:w="591"/>
        <w:gridCol w:w="931"/>
        <w:gridCol w:w="179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1.90 (0.81–4.45)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1.52 (0.66–3.52)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 (0.34–6.33)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7.55 (2.33–24.50)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2.35 (0.97–5.72)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1.93 (0.81–4.60)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(0.19–3.85)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10.45 (2.95–36.96)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2026-10-25T22:43:49Z</dcterms:modified>
  <cp:category/>
</cp:coreProperties>
</file>