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Overall survival, GSE31210 (lung adenocarcinoma, stage I–II). Signature score = mean z-score of LOXL2, ITGB1, PLAUR, SNAI1, VEGFC (log2 expression, z within the cohort); High vs Low = cohort median split. Multivariable: age group, years, sex and pathologic stage (complete cases n = 204, events = 30). Not available in this dataset: number_pack_years_smoked, pathologic_stage_12_34.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90"/>
        <w:gridCol w:w="1990"/>
        <w:gridCol w:w="1145"/>
        <w:gridCol w:w="681"/>
        <w:gridCol w:w="931"/>
        <w:gridCol w:w="170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Signature score group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4.40 (1.80–10.76)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2.78 (1.35–5.72)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 (0.29–1.22)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4.30 (2.09–8.83)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3.28 (1.31–8.22)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3.37 (1.60–7.07)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 (0.27–1.19)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3.47 (1.64–7.36)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2026-10-25T22:43:19Z</dcterms:modified>
  <cp:category/>
</cp:coreProperties>
</file>