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GSE31210 (lung adenocarcinoma, stage I–II). Signature score = mean z-score of LOXL2, ITGB1, PLAUR, SNAI1, VEGFC (log2 expression, z within the cohort); High vs Low = cohort median split. Multivariable: age group, years, sex and pathologic stage (complete cases n = 204, events = 54). Not available in this dataset: number_pack_years_smoked, pathologic_stage_12_34.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199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2.58 (1.45–4.58)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2.02 (1.15–3.53)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 (0.42–1.22)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3.44 (1.98–6.00)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 (1.08–3.59)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2.27 (1.28–4.01)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 (0.44–1.29)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3.00 (1.66–5.41)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2026-10-25T22:43:23Z</dcterms:modified>
  <cp:category/>
</cp:coreProperties>
</file>