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Spearman correlation, TCGA-LUAD. Lower triangle: r (p); upper triangle: pairwise n. Gene expression as log2(expression + 1). Score: Signature score (ssGSEA) (ssgsea, 11).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737"/>
        <w:gridCol w:w="1101"/>
        <w:gridCol w:w="1168"/>
        <w:gridCol w:w="1128"/>
        <w:gridCol w:w="1168"/>
        <w:gridCol w:w="1168"/>
        <w:gridCol w:w="1128"/>
        <w:gridCol w:w="1101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 (0.371)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-0.087 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 (0.313)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 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-0.074 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 (0.275)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-0.128 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 (0.815)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0.064 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-0.030 (0.507)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-0.024 (0.603)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-0.052 (0.346)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 (0.817)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-0.089 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 (0.563)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-0.046 (0.313)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 (0.566)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-0.043 (0.344)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-0.035 (0.435)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-0.098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 (0.971)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-0.037 (0.498)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 (0.744)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 (0.790)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-0.102 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0.065 (0.153)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 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-0.093 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 (0.826)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0.077 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0.121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 (0.577)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-0.104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-0.058 (0.195)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 (0.405)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-0.049 (0.284)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 (0.137)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-0.106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-0.126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-0.024 (0.591)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-0.106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-0.023 (0.607)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-0.012 (0.797)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 (0.433)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-0.067 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0.700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 (0.575)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-0.069 (0.124)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-0.032 (0.480)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 (0.908)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-0.035 (0.436)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2026-10-25T22:34:29Z</dcterms:modified>
  <cp:category/>
</cp:coreProperties>
</file>