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multivariable Cox regression, TCGA-LUAD. Signature score (ssGSEA) group: High vs Low (median split). All variables in one model, complete cases: n = 330, events = 116, EPV = 23.2.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765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 (0.93–1.97)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 (0.94–1.97)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(0.49–1.06)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(0.93–1.07)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(1.38–3.05)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2026-10-25T22:34:33Z</dcterms:modified>
  <cp:category/>
</cp:coreProperties>
</file>