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Relapse-free survival, multivariable Cox regression, TCGA-LUAD. Signature score (ssGSEA) group: High vs Low (median split). All variables in one model, complete cases: n = 274, events = 96, EPV = 19.2.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90"/>
        <w:gridCol w:w="2765"/>
        <w:gridCol w:w="1145"/>
        <w:gridCol w:w="681"/>
        <w:gridCol w:w="931"/>
        <w:gridCol w:w="1611"/>
        <w:gridCol w:w="816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Signature score (ssGSEA) group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1.29 (0.86–1.95)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1.55 (1.03–2.33)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 (0.62–1.42)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Pack-years (per 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 (0.93–1.09)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1.48 (0.92–2.37)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2026-10-25T22:34:38Z</dcterms:modified>
  <cp:category/>
</cp:coreProperties>
</file>