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sensitivity multivariable Cox regression, TCGA-LUAD. Signature score (ssGSEA) group: High vs Low (median split). Same model without pack-years (per 10) (larger complete-case sample): n = 482, events = 175, EPV = 43.8.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765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(1.04–1.93)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2.30 (1.66–3.17)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2026-10-25T22:34:34Z</dcterms:modified>
  <cp:category/>
</cp:coreProperties>
</file>