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sensitivity multivariable Cox regression, TCGA-LUAD. Signature score (ssGSEA) group: High vs Low (median split). Same model without pack-years (per 10) (larger complete-case sample): n = 408, events = 142, EPV = 35.5.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(0.92–1.83)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(0.98–1.92)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(1.05–2.32)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2026-10-25T22:34:39Z</dcterms:modified>
  <cp:category/>
</cp:coreProperties>
</file>