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univariable Cox regression, TCGA-LUAD. Signature score (ssGSEA) group: High vs Low (median split). Each variable in its own model; n and events are per model (complete cases).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0"/>
        <w:gridCol w:w="2765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 (1.15–2.10)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(0.87–1.57)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(0.68–1.23)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(0.97–1.11)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 (1.81–3.40)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2026-10-25T22:34:32Z</dcterms:modified>
  <cp:category/>
</cp:coreProperties>
</file>