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univariable Cox regression, TCGA-LUAD. Signature score (ssGSEA) group: High vs Low (median split). Each variable in its own model; n and events are per model (complete cases).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0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(0.99–1.91)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(0.95–1.83)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(0.78–1.52)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(0.94–1.10)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 (1.11–2.40)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2026-10-25T22:34:37Z</dcterms:modified>
  <cp:category/>
</cp:coreProperties>
</file>