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Signature score (ssGSEA) tertiles and quartiles (lowest group = reference), TCGA-LUAD. Multivariable models adjusted for age group, years, sex, pack-years (per 10) and pathologic stage group (complete cases). Overall p = likelihood-ratio test.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0"/>
        <w:gridCol w:w="1286"/>
        <w:gridCol w:w="99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Cut-off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(1.03–2.23)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 (1.28–2.67)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(0.93–2.41)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 (1.19–3.03)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(0.83–2.06)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(0.87–2.15)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 (1.47–3.39)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(1.09–3.35)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(0.70–2.25)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2.74 (1.59–4.70)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2026-10-25T22:34:48Z</dcterms:modified>
  <cp:category/>
</cp:coreProperties>
</file>