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characteristics by Signature score (ssGSEA) group (High vs Low, median split), TCGA-LUAD. n (% of non-missing). Chi-square test without continuity correction; Fisher's exact test when any expected count &lt; 5. Missing values excluded from percentages and tests.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8"/>
        <w:gridCol w:w="899"/>
        <w:gridCol w:w="1360"/>
        <w:gridCol w:w="1395"/>
        <w:gridCol w:w="1211"/>
        <w:gridCol w:w="771"/>
        <w:gridCol w:w="1279"/>
        <w:gridCol w:w="1180"/>
        <w:gridCol w:w="1293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Low (n = 246)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 (n = 246)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Missing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Expected &lt; 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 (44.1%)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 (55.5%)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293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 (73.5%)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Fisher's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 (94.1%)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(92.0%)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(5.9%)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(8.0%)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(6.9%)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2026-10-25T22:34:31Z</dcterms:modified>
  <cp:category/>
</cp:coreProperties>
</file>