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survival, sensitivity multivariable Cox regression, TCGA-LUAD. Signature score group: High vs Low (median split). Same model without pack-years (per 10) (larger complete-case sample): n = 482, events = 175, EPV = 43.8.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40"/>
        <w:gridCol w:w="206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without Pack-years (per 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1.70 (1.26–2.31)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 (0.85–1.55)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(0.72–1.32)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2.34 (1.71–3.22)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2026-10-25T22:34:12Z</dcterms:modified>
  <cp:category/>
</cp:coreProperties>
</file>