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Relapse-free survival, sensitivity multivariable Cox regression, TCGA-LUAD. Signature score group: High vs Low (median split). Same model without pack-years (per 10) (larger complete-case sample): n = 408, events = 142, EPV = 35.5.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440"/>
        <w:gridCol w:w="2060"/>
        <w:gridCol w:w="1145"/>
        <w:gridCol w:w="681"/>
        <w:gridCol w:w="931"/>
        <w:gridCol w:w="1611"/>
        <w:gridCol w:w="816"/>
        <w:gridCol w:w="113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 without Pack-years (per 10)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Signature score group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1.42 (1.02–1.98)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1.33 (0.95–1.86)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1.07 (0.77–1.50)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1.58 (1.07–2.34)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2026-10-25T22:34:17Z</dcterms:modified>
  <cp:category/>
</cp:coreProperties>
</file>