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univariable Cox regression, TCGA-LUAD. Signature score group: High vs Low (median split). Each variable in its own model; n and events are per model (complete cases).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0"/>
        <w:gridCol w:w="20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1.75 (1.30–2.37)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(0.87–1.57)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(0.68–1.23)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(0.97–1.11)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2.48 (1.81–3.40)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2026-10-25T22:34:11Z</dcterms:modified>
  <cp:category/>
</cp:coreProperties>
</file>