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univariable Cox regression, TCGA-LUAD. Signature score group: High vs Low (median split). Each variable in its own model; n and events are per model (complete cases).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0"/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 (1.07–2.07)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(0.95–1.83)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(0.78–1.52)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 (0.94–1.10)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 (1.11–2.40)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2026-10-25T22:34:16Z</dcterms:modified>
  <cp:category/>
</cp:coreProperties>
</file>