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Signature score tertiles and quartiles (lowest group = reference), TCGA-LUAD. Multivariable models adjusted for age group, years, sex, pack-years (per 10) and pathologic stage group (complete cases). Overall p = likelihood-ratio test.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0"/>
        <w:gridCol w:w="1286"/>
        <w:gridCol w:w="99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Cut-off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Tertile - 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(0.92–2.03)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 (1.46–3.05)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Tertile - 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(0.92–2.53)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2.26 (1.41–3.63)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Quartile - 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(0.74–1.88)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1.69 (1.08–2.64)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 (1.39–3.24)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Quartile - 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(0.69–2.21)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1.81 (1.01–3.23)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2.32 (1.36–3.95)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2026-10-25T22:34:27Z</dcterms:modified>
  <cp:category/>
</cp:coreProperties>
</file>