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characteristics by Signature score group (High vs Low, median split), TCGA-LUAD. n (% of non-missing). Chi-square test without continuity correction; Fisher's exact test when any expected count &lt; 5. Missing values excluded from percentages and tests.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8"/>
        <w:gridCol w:w="899"/>
        <w:gridCol w:w="1360"/>
        <w:gridCol w:w="1395"/>
        <w:gridCol w:w="1211"/>
        <w:gridCol w:w="771"/>
        <w:gridCol w:w="1279"/>
        <w:gridCol w:w="1180"/>
        <w:gridCol w:w="1293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 (n = 246)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 (n = 246)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Missing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 &lt; 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293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(4.7%)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(9.0%)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(6.9%)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2026-10-25T22:34:10Z</dcterms:modified>
  <cp:category/>
</cp:coreProperties>
</file>