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5-gene signature (LOXL2, ITGB1, PLAUR, SNAI1, VEGFC) signature score, TCGA-LUAD (all models, all covariate rows)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2492"/>
        <w:gridCol w:w="5885"/>
        <w:gridCol w:w="982"/>
        <w:gridCol w:w="621"/>
        <w:gridCol w:w="815"/>
        <w:gridCol w:w="1344"/>
        <w:gridCol w:w="805"/>
        <w:gridCol w:w="974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Overall 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(High vs Low)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 (1.07–1.94)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 (1.29–1.74)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 (1.22–1.64)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 (0.85–1.53)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 (1.57–2.99)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 (1.21–1.67)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 (0.74–1.39)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 (0.75–1.40)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 (1.48–2.89)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 (1.04–1.88)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 (1.29–1.74)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 (1.22–1.64)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 (1.57–2.99)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 (1.22–1.68)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 (0.74–1.39)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 (0.75–1.40)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 (1.48–2.89)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 (1.15–2.10)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 (1.23–1.66)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 (1.19–1.62)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 (1.67–3.15)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 (1.18–1.63)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 (0.75–1.41)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 (0.75–1.40)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 (1.57–3.04)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 (1.12–2.05)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 (1.22–1.65)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 (1.18–1.61)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 (1.67–3.16)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 (1.17–1.62)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 (0.75–1.41)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 (0.75–1.40)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 (1.57–3.05)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2026-10-25T22:32:09Z</dcterms:modified>
  <cp:category/>
</cp:coreProperties>
</file>