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Kaplan–Meier estimates by 5-gene signature (LOXL2, ITGB1, PLAUR, SNAI1, VEGFC) signature score (High vs Low, median split), TCGA-LUAD. NR = not reached.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85"/>
        <w:gridCol w:w="921"/>
        <w:gridCol w:w="681"/>
        <w:gridCol w:w="931"/>
        <w:gridCol w:w="2716"/>
        <w:gridCol w:w="1955"/>
        <w:gridCol w:w="1955"/>
        <w:gridCol w:w="128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Median OS,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3-year OS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5-year OS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Log-rank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 z-score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50.3 (45.3–88.1)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68.2% (61.0–76.3)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38.6% (29.6–50.4)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41.6 (32.7–60.1)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54.1% (46.6–62.7)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40.3% (31.7–51.1)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50.3 (41.7–88.1)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67.8% (60.6–75.9)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38.4% (29.4–50.1)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41.6 (32.8–60.1)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54.5% (47.0–63.1)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40.6% (32.0–51.5)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ssGSEA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54.3 (49.0–104.1)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71.5% (64.6–79.2)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41.8% (32.2–54.2)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39.7 (31.3–49.3)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51.6% (44.2–60.3)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36.6% (28.4–47.2)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singscore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54.3 (49.0–104.1)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71.1% (64.1–78.8)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42.0% (32.5–54.3)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39.7 (32.4–52.6)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52.1% (44.6–60.8)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36.6% (28.3–47.4)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2026-10-25T22:32:09Z</dcterms:modified>
  <cp:category/>
</cp:coreProperties>
</file>