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5-gene signature (LOXL2, ITGB1, PLAUR, SNAI1, VEGFC) signature score, TCGA-LUAD (investigator-selected a priori (hypothesis-based; not derived from TCGA data)). Primary method: ssGSEA (prespecified). Continuous HRs are per 1 SD of the score within the survival cohort; High vs Low = median split of the score over all scored patients. Multivariable models adjusted for age group, years, sex and pathologic stage group; sensitivity stratified by tss. Time-split HRs (0–24 / &gt;24 months) only when the score term violated proportional hazards. RMST difference = High − Low up to 60 months. Not adjusted together with the gene-level analyses.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916"/>
        <w:gridCol w:w="2596"/>
        <w:gridCol w:w="621"/>
        <w:gridCol w:w="815"/>
        <w:gridCol w:w="1344"/>
        <w:gridCol w:w="805"/>
        <w:gridCol w:w="726"/>
        <w:gridCol w:w="1262"/>
        <w:gridCol w:w="1480"/>
        <w:gridCol w:w="1091"/>
        <w:gridCol w:w="3109"/>
        <w:gridCol w:w="928"/>
        <w:gridCol w:w="1840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Primary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PH p (score term)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 (1.15–2.10)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-7.03 (-11.28, -2.79)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 (1.23–1.66)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 (1.19–1.62)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 (1.18–1.63)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 (1.28–1.92)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 (0.95–1.49)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 (1.07–1.94)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-5.31 (-9.61, -1.02)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 (1.29–1.74)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 (1.22–1.64)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 (1.21–1.67)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 (1.33–1.95)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 (0.95–1.48)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 (1.04–1.88)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-4.88 (-9.18, -0.58)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 (1.29–1.74)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 (1.22–1.64)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 (1.22–1.68)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 (1.33–1.96)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 (0.94–1.48)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 (1.12–2.05)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-6.65 (-10.90, -2.40)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 (1.22–1.65)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 (1.18–1.61)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 (1.17–1.62)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 (1.27–1.91)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 (0.93–1.47)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2026-10-25T22:32:06Z</dcterms:modified>
  <cp:category/>
</cp:coreProperties>
</file>